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661</w:t>
      </w:r>
    </w:p>
    <w:p>
      <w:r>
        <w:t>Bundesgericht (BGE), 2008-06-12, FR</w:t>
      </w:r>
    </w:p>
    <w:p>
      <w:r>
        <w:rPr>
          <w:b/>
        </w:rPr>
        <w:t xml:space="preserve">Quelle: </w:t>
      </w:r>
      <w:r>
        <w:t>https://mcp.opencaselaw.ch/entscheid/bge_134 III 661</w:t>
      </w:r>
    </w:p>
    <w:p>
      <w:r>
        <w:t>FR: ATF 134 III 661</w:t>
      </w:r>
    </w:p>
    <w:p>
      <w:r>
        <w:t>IT: DTF 134 III 661</w:t>
      </w:r>
    </w:p>
    <w:p>
      <w:pPr>
        <w:pStyle w:val="Heading2"/>
      </w:pPr>
      <w:r>
        <w:t>Regeste</w:t>
      </w:r>
    </w:p>
    <w:p>
      <w:r>
        <w:t>Regeste Art. 27 Abs. 1, Art. 61, Art. 63 Abs. 2 und Art. 64 Abs. 2 IPRG; Klage auf Ergänzung eines ausländischen Scheidungsurteils; Anerkennung eines ausländischen Scheidungsurteils. Die Teilung der Austrittsleistung der beruflichen Vorsorge untersteht grundsätzlich dem auf die Scheidung anwendbaren Recht (E. 3.1). Wurde die nach französischem Recht an die Ehefrau zu leistende Ausgleichszahlung namentlich unter Berücksichtigung der Austrittsleistung der beruflichen Vorsorge des Ehemanns gemäss schweizerischem Recht festgesetzt, so ist das Scheidungsurteil diesbezüglich nicht unvollständig und bedarf folglich keiner Ergänzung (E. 3.3). Die Anerkennung eines ausländischen Scheidungsurteils, das der Ehefrau eine Ausgleichszahlung zuspricht, die weniger als die Hälfte der Austrittsleistung der beruflichen Vorsorge des Ehemannes beträgt, ist mit dem schweizerischen materiellen Ordre public nicht offensichtlich unvereinbar (E. 4.2).</w:t>
      </w:r>
    </w:p>
    <w:p>
      <w:pPr>
        <w:pStyle w:val="Heading2"/>
      </w:pPr>
      <w:r>
        <w:t>Erwägungen</w:t>
      </w:r>
    </w:p>
    <w:p>
      <w:r>
        <w:rPr>
          <w:b/>
        </w:rPr>
        <w:t>E. 3.1</w:t>
      </w:r>
    </w:p>
    <w:p>
      <w:r>
        <w:t>Conformément à l' art. 64 al. 2 LDIP , l'action en complément ou en modification du divorce ou de la séparation de corps est en principe régie par le droit applicable au divorce ou à la séparation de corps. En vertu de l' art. 61 LDIP , le divorce et la séparation de corps sont régis par le droit suisse (al. 1 er );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 art. 63 al. 2 LDIP ).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 ATF 131 III 289 consid. 2.4 p. 291; arrêts 5A_83/2008 du 28 avril 2008, consid. 3.2; 5C.297/2006 du 8 mars 2007, consid. 3.1, publié in FamPra.ch 2007 p. 667 ss). Toutefois, la clause d'exception prévue par l' art. 15 LDIP habilite le juge à ne pas appliquer le droit auquel renvoie la règle de conflit de lois lorsque, au regard de l'ensemble des circonstances, il est manifeste que la cause n'a qu'un lien très lâche BGE 134 III 661 S. 664 avec cette législation et qu'elle se trouve dans une relation beaucoup plus étroite avec un autre droit (al. 1 er ). Cette clause n'intervient que de façon restrictive ( ATF 121 III 246 consid. 3c p. 247 et la jurisprudence mentionnée); elle ne tend pas, en particulier, à obvier aux conséquences indésirables du droit matériel ( ATF 131 III 289 consid. 2.5 p. 292).</w:t>
      </w:r>
    </w:p>
    <w:p>
      <w:r>
        <w:rPr>
          <w:b/>
        </w:rPr>
        <w:t>E. 3.2</w:t>
      </w:r>
    </w:p>
    <w:p>
      <w:r>
        <w:t>Avant de s'interroger sur le droit applicable, il convient d'examiner si le jugement de divorce français doit être complété ( ATF 131 III 289 consid. 2.8 p. 294; MAYA STUTZER, Vorsorgeausgleich bei Scheidungen mit internationalem Konnex, in: FamPra.ch 2006 p. 243 ss, spéc. 256); si ladite décision ne nécessite aucun complément, parce qu'elle a déjà réglé le sort des avoirs de prévoyance, la question du droit applicable devient sans objet. Dans l'arrêt publié aux ATF 131 III 289 (consid. 2.8 et 2.9), le Tribunal fédéral a constaté que le jugement de divorce prononcé en France ne contenait aucune clause explicite quant aux avoirs accumulés auprès de l'institution suisse de prévoyance et que le juge français avait rejeté la prétention de l'épouse en paiement d'une prestation compensatoire ( art. 270 ss CC /F) sans qu'on puisse discerner le motif de ce refus.</w:t>
      </w:r>
    </w:p>
    <w:p>
      <w:r>
        <w:rPr>
          <w:b/>
        </w:rPr>
        <w:t>E. 3.3</w:t>
      </w:r>
    </w:p>
    <w:p>
      <w:r>
        <w:t>Il n'en va pas de même en l'espèce. Tant l'arrêt de la Cour d'appel de Chambéry que celui de la Cour de cassation se sont expressément penchés sur la problématique du partage des avoirs de la pré voyance professionnelle des parties. La Cour d'appel a estimé que les normes du Code civil suisse relatives au partage du deuxième pilier en cas de divorce ( art. 124 et 142 CC ) ne revêtent pas de caractère automatique et que l'épouse ne tient pas de la loi suisse un droit acquis à la moitié des avoirs de la prévoyance professionnelle constituée par son époux pendant la durée du mariage; se référant ainsi à la loi française, seule applicable au litige, pour fixer la quotité de la prestation compensatoire due à l'épouse et tenant compte des situations respectives des parties quant à leurs revenus et à leurs prétentions dans la liquidation du régime matrimonial, ainsi que de la prestation de libre passage à laquelle le mari pouvait prétendre, les magistrats d'appel ont alloué à l'épouse une somme de 160'000 EUR. La Cour de cassation a confirmé cette décision en déclarant: "(...) c'est en considération du versement de la prestation de libre passage à M. X. selon le droit suisse, dont l'arrêt n'a pas dénaturé la teneur, et par une juste application de l'article 1401 du Code civil, que la Cour d'appel BGE 134 III 661 S. 665 a, par une appréciation souveraine, fixé le montant de la prestation compensatoire due à Mme X.". Il faut concéder à la recourante qu'il existe une différence de nature entre la prestation compensatoire du droit civil français et le partage des avoirs de prévoyance prévu par les art. 122 ss CC , institution que la législation française ne connaît pas comme telle ( ATF 131 III 289 consid. 2.8 p. 295). Il n'en demeure pas moins, comme le relève avec raison l'autorité cantonale, que la prestation compensatoire a été fixée en tenant compte, parmi plusieurs éléments, de la prestation de libre passage du mari. Il n'y a donc plus de place pour un complément par le juge suisse.</w:t>
      </w:r>
    </w:p>
    <w:p>
      <w:r>
        <w:rPr>
          <w:b/>
        </w:rPr>
        <w:t>E. 4</w:t>
      </w:r>
    </w:p>
    <w:p>
      <w:r>
        <w:t>A titre subsidiaire, la recourante affirme que, même s'il fallait admettre que le jugement de divorce français bénéficie de l'autorité de la chose jugée, il ne pourrait pas être reconnu, car il contrevient à l'ordre public suisse: d'une part, il attribue une prestation compensatoire sans fixer aucune clef de répartition conformément à l' art. 142 CC ; d'autre part, il ne lui alloue qu'un peu plus d'un cinquième des avoirs de prévoyance, la privant de l'essentiel de ses droits découlant de l' art. 122 CC .</w:t>
      </w:r>
    </w:p>
    <w:p>
      <w:r>
        <w:rPr>
          <w:b/>
        </w:rPr>
        <w:t>E. 4.1</w:t>
      </w:r>
    </w:p>
    <w:p>
      <w:r>
        <w:t>En vertu de l' art. 27 al. 1 LDIP ,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126 III 327 consid. 2b p. 330; ATF 116 II 625 consid. 4a p 630). Le Tribunal fédéral a jugé que l'ordre public matériel serait violé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"splitting" du rapport de prévoyance entre les époux ( ATF 130 III 336 consid. 2.4 p. 340). BGE 134 III 661 S. 666</w:t>
      </w:r>
    </w:p>
    <w:p>
      <w:r>
        <w:rPr>
          <w:b/>
        </w:rPr>
        <w:t>E. 4.2</w:t>
      </w:r>
    </w:p>
    <w:p>
      <w:r>
        <w:t>Une telle situation n'est pas réalisée ici. Le juge français, statuant après avoir dûment analysé la situation des époux, au regard du droit français applicable au litige, et admettant partiellement les conclusions de l'épouse, a fixé à 160'000 EUR la prestation compensatoire due par le mari et invité l'institution de prévoyance de celui-ci à verser à l'épouse la contre-valeur de ce montant en francs suisses. Dans ces circonstances, on ne peut admettre que les arrêts de la Cour d'appel, puis de la Cour de cassation, sont contraires à l'ordre public matériel suisse. En particulier, le fait que l'épouse perçoit moins de la moitié de la prestation de sortie du mari n'autorise pas cette conclusion, d'autant que les tribunaux français ont pris en compte l'ensemble des éléments consécutifs au divorce des époux. Rien ne s'oppose dès lors à ce que lesdits jugements soient reconnus et exécutés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